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4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3718"/>
      </w:tblGrid>
      <w:tr>
        <w:tc>
          <w:tcPr>
            <w:tcW w:type="dxa" w:w="371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06000000">
            <w:pPr>
              <w:rPr>
                <w:rFonts w:ascii="Times New Roman" w:hAnsi="Times New Roman"/>
                <w:sz w:val="28"/>
              </w:rPr>
            </w:pPr>
          </w:p>
        </w:tc>
      </w:tr>
    </w:tbl>
    <w:tbl>
      <w:tblPr>
        <w:tblStyle w:val="Style_3"/>
        <w:tblpPr w:horzAnchor="margin" w:tblpX="6986" w:tblpY="511" w:vertAnchor="page"/>
        <w:tblW w:type="auto" w:w="0"/>
        <w:tblLayout w:type="fixed"/>
        <w:tblCellMar>
          <w:left w:type="dxa" w:w="0"/>
          <w:right w:type="dxa" w:w="0"/>
        </w:tblCellMar>
      </w:tblPr>
      <w:tblGrid>
        <w:gridCol w:w="1581"/>
      </w:tblGrid>
      <w:tr>
        <w:trPr>
          <w:trHeight w:hRule="atLeast" w:val="454"/>
        </w:trPr>
        <w:tc>
          <w:tcPr>
            <w:tcW w:type="dxa" w:w="1581"/>
            <w:tcMar>
              <w:left w:type="dxa" w:w="0"/>
              <w:right w:type="dxa" w:w="0"/>
            </w:tcMar>
          </w:tcPr>
          <w:p w14:paraId="07000000">
            <w:pPr>
              <w:spacing w:after="0" w:line="240" w:lineRule="auto"/>
              <w:ind/>
              <w:rPr>
                <w:rFonts w:ascii="EanGnivc" w:hAnsi="EanGnivc"/>
                <w:sz w:val="64"/>
              </w:rPr>
            </w:pPr>
          </w:p>
        </w:tc>
      </w:tr>
    </w:tbl>
    <w:p w14:paraId="08000000">
      <w:pPr>
        <w:tabs>
          <w:tab w:leader="none" w:pos="4395" w:val="left"/>
        </w:tabs>
        <w:spacing w:after="0" w:line="240" w:lineRule="auto"/>
        <w:ind/>
        <w:rPr>
          <w:rFonts w:ascii="Times New Roman" w:hAnsi="Times New Roman"/>
          <w:sz w:val="28"/>
        </w:rPr>
      </w:pPr>
    </w:p>
    <w:p w14:paraId="09000000">
      <w:pPr>
        <w:spacing w:after="0" w:line="240" w:lineRule="auto"/>
        <w:ind w:right="496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ИНФОРМАЦИЯ</w:t>
      </w:r>
    </w:p>
    <w:p w14:paraId="0A000000">
      <w:pPr>
        <w:spacing w:after="0" w:line="240" w:lineRule="auto"/>
        <w:ind w:right="4960"/>
        <w:jc w:val="both"/>
        <w:rPr>
          <w:rFonts w:ascii="Times New Roman" w:hAnsi="Times New Roman"/>
          <w:sz w:val="28"/>
        </w:rPr>
      </w:pPr>
    </w:p>
    <w:p w14:paraId="0B000000">
      <w:pPr>
        <w:spacing w:after="0" w:line="240" w:lineRule="exact"/>
        <w:ind w:right="496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размещения в сети «Интернет»</w:t>
      </w:r>
    </w:p>
    <w:p w14:paraId="0C000000">
      <w:pPr>
        <w:spacing w:after="0" w:line="240" w:lineRule="exact"/>
        <w:ind w:right="4961"/>
        <w:jc w:val="both"/>
        <w:rPr>
          <w:rFonts w:ascii="Times New Roman" w:hAnsi="Times New Roman"/>
          <w:sz w:val="28"/>
        </w:rPr>
      </w:pPr>
    </w:p>
    <w:p w14:paraId="0D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«В результате вмешательства прокуратуры Улаганского района отремонтирован пешеходный мост в с. Улаган»</w:t>
      </w:r>
    </w:p>
    <w:p w14:paraId="0E000000">
      <w:pPr>
        <w:tabs>
          <w:tab w:leader="none" w:pos="4860" w:val="left"/>
        </w:tabs>
        <w:ind/>
        <w:jc w:val="both"/>
        <w:outlineLvl w:val="2"/>
        <w:rPr>
          <w:rFonts w:ascii="Times New Roman" w:hAnsi="Times New Roman"/>
          <w:sz w:val="28"/>
        </w:rPr>
      </w:pPr>
    </w:p>
    <w:p w14:paraId="0F000000">
      <w:pPr>
        <w:tabs>
          <w:tab w:leader="none" w:pos="4860" w:val="left"/>
        </w:tabs>
        <w:ind w:firstLine="680" w:left="0"/>
        <w:jc w:val="both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Прокуратурой района по  обращени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 xml:space="preserve"> жителей с. </w:t>
      </w:r>
      <w:r>
        <w:rPr>
          <w:rFonts w:ascii="Times New Roman" w:hAnsi="Times New Roman"/>
          <w:sz w:val="28"/>
        </w:rPr>
        <w:t>Улаган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проведена проверка о </w:t>
      </w:r>
      <w:r>
        <w:rPr>
          <w:rFonts w:ascii="Times New Roman" w:hAnsi="Times New Roman"/>
          <w:sz w:val="28"/>
        </w:rPr>
        <w:t xml:space="preserve">неудовлетворительном состоянии </w:t>
      </w:r>
      <w:r>
        <w:rPr>
          <w:rFonts w:ascii="Times New Roman" w:hAnsi="Times New Roman"/>
          <w:sz w:val="28"/>
        </w:rPr>
        <w:t xml:space="preserve">пешеходного </w:t>
      </w:r>
      <w:r>
        <w:rPr>
          <w:rFonts w:ascii="Times New Roman" w:hAnsi="Times New Roman"/>
          <w:sz w:val="28"/>
        </w:rPr>
        <w:t xml:space="preserve"> моста через реку </w:t>
      </w:r>
      <w:r>
        <w:rPr>
          <w:rFonts w:ascii="Times New Roman" w:hAnsi="Times New Roman"/>
          <w:sz w:val="28"/>
        </w:rPr>
        <w:t>Большой Улаган в с. Улаган,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ул. </w:t>
      </w:r>
      <w:r>
        <w:rPr>
          <w:rFonts w:ascii="Times New Roman" w:hAnsi="Times New Roman"/>
          <w:sz w:val="28"/>
        </w:rPr>
        <w:t xml:space="preserve"> А.В. Санаа</w:t>
      </w:r>
      <w:r>
        <w:rPr>
          <w:rFonts w:ascii="Times New Roman" w:hAnsi="Times New Roman"/>
          <w:sz w:val="28"/>
        </w:rPr>
        <w:t>.</w:t>
      </w:r>
    </w:p>
    <w:p w14:paraId="10000000">
      <w:pPr>
        <w:spacing w:line="288" w:lineRule="atLeast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Проверкой установлено, что в с. </w:t>
      </w:r>
      <w:r>
        <w:rPr>
          <w:rFonts w:ascii="Times New Roman" w:hAnsi="Times New Roman"/>
          <w:sz w:val="28"/>
        </w:rPr>
        <w:t>Улаган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ул.</w:t>
      </w:r>
      <w:r>
        <w:rPr>
          <w:rFonts w:ascii="Times New Roman" w:hAnsi="Times New Roman"/>
          <w:sz w:val="28"/>
        </w:rPr>
        <w:t xml:space="preserve"> А.В. Санаа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через реку Б</w:t>
      </w:r>
      <w:r>
        <w:rPr>
          <w:rFonts w:ascii="Times New Roman" w:hAnsi="Times New Roman"/>
          <w:sz w:val="28"/>
        </w:rPr>
        <w:t xml:space="preserve">ольшой Улаган </w:t>
      </w:r>
      <w:r>
        <w:rPr>
          <w:rFonts w:ascii="Times New Roman" w:hAnsi="Times New Roman"/>
          <w:sz w:val="28"/>
        </w:rPr>
        <w:t xml:space="preserve">имеется  искусственное  сооружение – </w:t>
      </w:r>
      <w:r>
        <w:rPr>
          <w:rFonts w:ascii="Times New Roman" w:hAnsi="Times New Roman"/>
          <w:sz w:val="28"/>
        </w:rPr>
        <w:t>пешеходный</w:t>
      </w:r>
      <w:r>
        <w:rPr>
          <w:rFonts w:ascii="Times New Roman" w:hAnsi="Times New Roman"/>
          <w:sz w:val="28"/>
        </w:rPr>
        <w:t xml:space="preserve"> мост</w:t>
      </w:r>
      <w:r>
        <w:rPr>
          <w:rFonts w:ascii="Times New Roman" w:hAnsi="Times New Roman"/>
          <w:sz w:val="28"/>
        </w:rPr>
        <w:t xml:space="preserve"> протяженностью 20 метров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Указанный мост находится в неудовлетворительном состоянии:  частично отсутствуют перила, деревянный настил имеет разрушения, что создает угрозу при передвижении по мосту</w:t>
      </w:r>
      <w:r>
        <w:rPr>
          <w:rFonts w:ascii="Times New Roman" w:hAnsi="Times New Roman"/>
          <w:sz w:val="28"/>
        </w:rPr>
        <w:t xml:space="preserve">, в том числе детей при направлении в образовательное учреждение.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При этом администрацией МО «Улаганск</w:t>
      </w:r>
      <w:r>
        <w:rPr>
          <w:rFonts w:ascii="Times New Roman" w:hAnsi="Times New Roman"/>
          <w:sz w:val="28"/>
        </w:rPr>
        <w:t>ий район</w:t>
      </w:r>
      <w:r>
        <w:rPr>
          <w:rFonts w:ascii="Times New Roman" w:hAnsi="Times New Roman"/>
          <w:sz w:val="28"/>
        </w:rPr>
        <w:t>» меры по ремонту моста не принимаются.</w:t>
      </w:r>
    </w:p>
    <w:p w14:paraId="11000000">
      <w:pPr>
        <w:spacing w:line="288" w:lineRule="atLeast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Прокурор района в адрес главы МО «Улаганский район» внес представление, по результатам рассмотрения которого администрацией  заключен муниципальный контракт  на капитальный  ремонт моста с  </w:t>
      </w:r>
      <w:r>
        <w:rPr>
          <w:rFonts w:ascii="Times New Roman" w:hAnsi="Times New Roman"/>
          <w:sz w:val="28"/>
        </w:rPr>
        <w:t xml:space="preserve"> ООО "Прагма-Строй".  В ходе исполнения контракта подрядчиком нарушен срок выполнения работ, в связи с чем в адрес  генерального директора общества прокурором вносилось представление. </w:t>
      </w:r>
    </w:p>
    <w:p w14:paraId="12000000">
      <w:pPr>
        <w:spacing w:line="288" w:lineRule="atLeast"/>
        <w:ind w:firstLine="0" w:lef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настоящее время мост функционирует.  </w:t>
      </w:r>
    </w:p>
    <w:p w14:paraId="13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4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</w:p>
    <w:p w14:paraId="15000000">
      <w:pPr>
        <w:spacing w:after="0" w:line="240" w:lineRule="auto"/>
        <w:ind/>
        <w:rPr>
          <w:rFonts w:ascii="Times New Roman" w:hAnsi="Times New Roman"/>
          <w:sz w:val="28"/>
        </w:rPr>
      </w:pPr>
    </w:p>
    <w:tbl>
      <w:tblPr>
        <w:tblStyle w:val="Style_3"/>
        <w:tblW w:type="auto" w:w="0"/>
        <w:tblInd w:type="dxa" w:w="284"/>
        <w:tblLayout w:type="fixed"/>
      </w:tblPr>
      <w:tblGrid>
        <w:gridCol w:w="9639"/>
      </w:tblGrid>
      <w:tr>
        <w:trPr>
          <w:trHeight w:hRule="atLeast" w:val="1156"/>
        </w:trPr>
        <w:tc>
          <w:tcPr>
            <w:tcW w:type="dxa" w:w="9639"/>
          </w:tcPr>
          <w:p w14:paraId="16000000">
            <w:pPr>
              <w:spacing w:before="240" w:line="360" w:lineRule="exact"/>
              <w:ind w:firstLine="0" w:left="2872"/>
              <w:rPr>
                <w:color w:themeColor="background1" w:themeShade="BF" w:val="BFBFBF"/>
                <w:sz w:val="24"/>
              </w:rPr>
            </w:pPr>
            <w:bookmarkStart w:id="3" w:name="SIGNERSTAMP1"/>
            <w:r>
              <w:rPr>
                <w:color w:themeColor="background1" w:themeShade="BF" w:val="BFBFBF"/>
                <w:sz w:val="24"/>
              </w:rPr>
              <w:t xml:space="preserve">                                     </w:t>
            </w:r>
            <w:r>
              <w:rPr>
                <w:color w:themeColor="background1" w:themeShade="BF" w:val="BFBFBF"/>
                <w:sz w:val="24"/>
              </w:rPr>
              <w:t>эл.подпись</w:t>
            </w:r>
            <w:bookmarkEnd w:id="3"/>
          </w:p>
          <w:p w14:paraId="17000000">
            <w:pPr>
              <w:spacing w:line="360" w:lineRule="exact"/>
              <w:ind/>
              <w:rPr>
                <w:color w:themeColor="background1" w:themeShade="80" w:val="808080"/>
                <w:sz w:val="28"/>
              </w:rPr>
            </w:pPr>
            <w:r>
              <w:rPr>
                <w:color w:themeColor="background1" w:themeShade="BF" w:val="BFBFBF"/>
                <w:sz w:val="28"/>
              </w:rPr>
              <w:t xml:space="preserve"> </w:t>
            </w:r>
          </w:p>
        </w:tc>
      </w:tr>
    </w:tbl>
    <w:tbl>
      <w:tblPr>
        <w:tblStyle w:val="Style_4"/>
        <w:tblpPr w:bottomFromText="0" w:horzAnchor="text" w:leftFromText="181" w:rightFromText="181" w:tblpXSpec="left" w:tblpY="1" w:topFromText="0" w:vertAnchor="text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4819"/>
        <w:gridCol w:w="1417"/>
        <w:gridCol w:w="3403"/>
      </w:tblGrid>
      <w:tr>
        <w:tc>
          <w:tcPr>
            <w:tcW w:type="dxa" w:w="481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18000000">
            <w:pPr>
              <w:spacing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Прокурор района</w:t>
            </w:r>
          </w:p>
        </w:tc>
        <w:tc>
          <w:tcPr>
            <w:tcW w:type="dxa" w:w="141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19000000">
            <w:pPr>
              <w:spacing w:line="240" w:lineRule="exact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40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1A000000">
            <w:pPr>
              <w:spacing w:line="240" w:lineRule="exact"/>
              <w:ind w:right="-11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Н.А. Казанцев</w:t>
            </w:r>
          </w:p>
        </w:tc>
      </w:tr>
    </w:tbl>
    <w:p w14:paraId="1B000000">
      <w:pPr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1C000000">
      <w:pPr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1D000000">
      <w:pPr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1E000000">
      <w:pPr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sectPr>
      <w:headerReference r:id="rId1" w:type="default"/>
      <w:footerReference r:id="rId2" w:type="default"/>
      <w:footerReference r:id="rId3" w:type="first"/>
      <w:pgSz w:h="16838" w:orient="portrait" w:w="11906"/>
      <w:pgMar w:bottom="1134" w:footer="709" w:gutter="0" w:header="709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ind/>
      <w:jc w:val="center"/>
    </w:pPr>
  </w:p>
</w:ftr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3"/>
      <w:tblpPr w:horzAnchor="margin" w:tblpXSpec="right" w:tblpYSpec="outside" w:vertAnchor="page"/>
      <w:tblW w:type="auto" w:w="0"/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3643"/>
    </w:tblGrid>
    <w:tr>
      <w:trPr>
        <w:trHeight w:hRule="atLeast" w:val="57"/>
      </w:trPr>
      <w:tc>
        <w:tcPr>
          <w:tcW w:type="dxa" w:w="364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3000000">
          <w:pPr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1"/>
        </w:p>
        <w:p w14:paraId="04000000">
          <w:pPr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r>
            <w:rPr>
              <w:rFonts w:ascii="Times New Roman" w:hAnsi="Times New Roman"/>
              <w:color w:themeColor="background1" w:themeShade="BF" w:val="BFBFBF"/>
              <w:sz w:val="16"/>
            </w:rPr>
            <w:t>рег.номер</w:t>
          </w:r>
          <w:bookmarkEnd w:id="2"/>
        </w:p>
      </w:tc>
    </w:tr>
  </w:tbl>
  <w:p w14:paraId="05000000">
    <w:pPr>
      <w:pStyle w:val="Style_2"/>
      <w:spacing w:after="60"/>
      <w:ind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5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5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2" w:type="paragraph">
    <w:name w:val="footer"/>
    <w:basedOn w:val="Style_5"/>
    <w:link w:val="Style_2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_ch" w:type="character">
    <w:name w:val="footer"/>
    <w:basedOn w:val="Style_5_ch"/>
    <w:link w:val="Style_2"/>
  </w:style>
  <w:style w:styleId="Style_12" w:type="paragraph">
    <w:name w:val="toc 3"/>
    <w:next w:val="Style_5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heading 5"/>
    <w:next w:val="Style_5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5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5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toc 9"/>
    <w:next w:val="Style_5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5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Штамп"/>
    <w:basedOn w:val="Style_5"/>
    <w:link w:val="Style_21_ch"/>
    <w:pPr>
      <w:spacing w:after="0" w:line="720" w:lineRule="auto"/>
      <w:ind/>
      <w:jc w:val="left"/>
    </w:pPr>
    <w:rPr>
      <w:rFonts w:ascii="Times New Roman" w:hAnsi="Times New Roman"/>
      <w:sz w:val="28"/>
    </w:rPr>
  </w:style>
  <w:style w:styleId="Style_21_ch" w:type="character">
    <w:name w:val="Штамп"/>
    <w:basedOn w:val="Style_5_ch"/>
    <w:link w:val="Style_21"/>
    <w:rPr>
      <w:rFonts w:ascii="Times New Roman" w:hAnsi="Times New Roman"/>
      <w:sz w:val="28"/>
    </w:rPr>
  </w:style>
  <w:style w:styleId="Style_22" w:type="paragraph">
    <w:name w:val="toc 5"/>
    <w:next w:val="Style_5"/>
    <w:link w:val="Style_2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1" w:type="paragraph">
    <w:name w:val="header"/>
    <w:basedOn w:val="Style_5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5_ch"/>
    <w:link w:val="Style_1"/>
  </w:style>
  <w:style w:styleId="Style_23" w:type="paragraph">
    <w:name w:val="Subtitle"/>
    <w:next w:val="Style_5"/>
    <w:link w:val="Style_2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5"/>
    <w:link w:val="Style_2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5"/>
    <w:link w:val="Style_2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Default Paragraph Font"/>
    <w:link w:val="Style_26_ch"/>
  </w:style>
  <w:style w:styleId="Style_26_ch" w:type="character">
    <w:name w:val="Default Paragraph Font"/>
    <w:link w:val="Style_26"/>
  </w:style>
  <w:style w:styleId="Style_27" w:type="paragraph">
    <w:name w:val="Balloon Text"/>
    <w:basedOn w:val="Style_5"/>
    <w:link w:val="Style_27_ch"/>
    <w:pPr>
      <w:spacing w:after="0" w:line="240" w:lineRule="auto"/>
      <w:ind/>
    </w:pPr>
    <w:rPr>
      <w:rFonts w:ascii="Segoe UI" w:hAnsi="Segoe UI"/>
      <w:sz w:val="18"/>
    </w:rPr>
  </w:style>
  <w:style w:styleId="Style_27_ch" w:type="character">
    <w:name w:val="Balloon Text"/>
    <w:basedOn w:val="Style_5_ch"/>
    <w:link w:val="Style_27"/>
    <w:rPr>
      <w:rFonts w:ascii="Segoe UI" w:hAnsi="Segoe UI"/>
      <w:sz w:val="18"/>
    </w:rPr>
  </w:style>
  <w:style w:styleId="Style_28" w:type="paragraph">
    <w:name w:val="heading 2"/>
    <w:next w:val="Style_5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styleId="Style_4" w:type="table">
    <w:name w:val="Table Grid"/>
    <w:basedOn w:val="Style_3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footer3.xml" Type="http://schemas.openxmlformats.org/officeDocument/2006/relationships/footer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2025-12-12T08:50:50Z</dcterms:modified>
</cp:coreProperties>
</file>