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4"/>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3718"/>
      </w:tblGrid>
      <w:tr>
        <w:tc>
          <w:tcPr>
            <w:tcW w:type="dxa" w:w="3718"/>
            <w:tcBorders>
              <w:top w:color="000000" w:sz="4" w:val="nil"/>
              <w:left w:color="000000" w:sz="4" w:val="nil"/>
              <w:bottom w:color="000000" w:sz="4" w:val="nil"/>
              <w:right w:color="000000" w:sz="4" w:val="nil"/>
            </w:tcBorders>
            <w:tcMar>
              <w:left w:type="dxa" w:w="0"/>
              <w:right w:type="dxa" w:w="0"/>
            </w:tcMar>
            <w:vAlign w:val="bottom"/>
          </w:tcPr>
          <w:p w14:paraId="06000000">
            <w:pPr>
              <w:rPr>
                <w:rFonts w:ascii="Times New Roman" w:hAnsi="Times New Roman"/>
                <w:sz w:val="28"/>
              </w:rPr>
            </w:pPr>
          </w:p>
        </w:tc>
      </w:tr>
    </w:tbl>
    <w:tbl>
      <w:tblPr>
        <w:tblStyle w:val="Style_3"/>
        <w:tblpPr w:horzAnchor="margin" w:tblpX="6986" w:tblpY="511" w:vertAnchor="page"/>
        <w:tblW w:type="auto" w:w="0"/>
        <w:tblLayout w:type="fixed"/>
        <w:tblCellMar>
          <w:left w:type="dxa" w:w="0"/>
          <w:right w:type="dxa" w:w="0"/>
        </w:tblCellMar>
      </w:tblPr>
      <w:tblGrid>
        <w:gridCol w:w="1581"/>
      </w:tblGrid>
      <w:tr>
        <w:trPr>
          <w:trHeight w:hRule="atLeast" w:val="454"/>
        </w:trPr>
        <w:tc>
          <w:tcPr>
            <w:tcW w:type="dxa" w:w="1581"/>
            <w:tcMar>
              <w:left w:type="dxa" w:w="0"/>
              <w:right w:type="dxa" w:w="0"/>
            </w:tcMar>
          </w:tcPr>
          <w:p w14:paraId="07000000">
            <w:pPr>
              <w:spacing w:after="0" w:line="240" w:lineRule="auto"/>
              <w:ind/>
              <w:rPr>
                <w:rFonts w:ascii="EanGnivc" w:hAnsi="EanGnivc"/>
                <w:sz w:val="64"/>
              </w:rPr>
            </w:pPr>
          </w:p>
        </w:tc>
      </w:tr>
    </w:tbl>
    <w:p w14:paraId="08000000">
      <w:pPr>
        <w:tabs>
          <w:tab w:leader="none" w:pos="4395" w:val="left"/>
        </w:tabs>
        <w:spacing w:after="0" w:line="240" w:lineRule="auto"/>
        <w:ind/>
        <w:rPr>
          <w:rFonts w:ascii="Times New Roman" w:hAnsi="Times New Roman"/>
          <w:sz w:val="28"/>
        </w:rPr>
      </w:pPr>
    </w:p>
    <w:p w14:paraId="09000000">
      <w:pPr>
        <w:spacing w:after="0" w:line="240" w:lineRule="auto"/>
        <w:ind w:right="4960"/>
        <w:jc w:val="both"/>
        <w:rPr>
          <w:rFonts w:ascii="Times New Roman" w:hAnsi="Times New Roman"/>
          <w:b w:val="1"/>
          <w:sz w:val="28"/>
        </w:rPr>
      </w:pPr>
      <w:r>
        <w:rPr>
          <w:rFonts w:ascii="Times New Roman" w:hAnsi="Times New Roman"/>
          <w:b w:val="1"/>
          <w:sz w:val="28"/>
        </w:rPr>
        <w:t>ИНФОРМАЦИЯ</w:t>
      </w:r>
    </w:p>
    <w:p w14:paraId="0A000000">
      <w:pPr>
        <w:spacing w:after="0" w:line="240" w:lineRule="auto"/>
        <w:ind w:right="4960"/>
        <w:jc w:val="both"/>
        <w:rPr>
          <w:rFonts w:ascii="Times New Roman" w:hAnsi="Times New Roman"/>
          <w:sz w:val="28"/>
        </w:rPr>
      </w:pPr>
    </w:p>
    <w:p w14:paraId="0B000000">
      <w:pPr>
        <w:spacing w:after="0" w:line="240" w:lineRule="exact"/>
        <w:ind w:right="4961"/>
        <w:jc w:val="both"/>
        <w:rPr>
          <w:rFonts w:ascii="Times New Roman" w:hAnsi="Times New Roman"/>
          <w:sz w:val="28"/>
        </w:rPr>
      </w:pPr>
      <w:r>
        <w:rPr>
          <w:rFonts w:ascii="Times New Roman" w:hAnsi="Times New Roman"/>
          <w:sz w:val="28"/>
        </w:rPr>
        <w:t>для размещения в сети «Интернет»</w:t>
      </w:r>
    </w:p>
    <w:p w14:paraId="0C000000">
      <w:pPr>
        <w:spacing w:after="0" w:line="240" w:lineRule="auto"/>
        <w:ind/>
        <w:jc w:val="center"/>
        <w:rPr>
          <w:rFonts w:ascii="Times New Roman" w:hAnsi="Times New Roman"/>
          <w:sz w:val="28"/>
        </w:rPr>
      </w:pPr>
    </w:p>
    <w:p w14:paraId="0D000000">
      <w:pPr>
        <w:spacing w:after="0" w:line="240" w:lineRule="auto"/>
        <w:ind w:firstLine="709" w:left="0"/>
        <w:jc w:val="both"/>
        <w:rPr>
          <w:rFonts w:ascii="Times New Roman" w:hAnsi="Times New Roman"/>
          <w:sz w:val="28"/>
        </w:rPr>
      </w:pPr>
      <w:r>
        <w:rPr>
          <w:rFonts w:ascii="Times New Roman" w:hAnsi="Times New Roman"/>
          <w:sz w:val="28"/>
        </w:rPr>
        <w:t xml:space="preserve">Прокуратурой Улаганского района в районном суде поддержано государственное обвинение по уголовному делу с ходатайством органа следствия о прекращении уголовного дела с назначением меры уголовно-правового характера в виде судебного штрафа  в отношении  жителя с. Саратан Улаганского района, обвиняемого в совершении преступления, предусмотренного п. «г» ч. 2 ст. 260 УК РФ (незаконная рубка лесных насаждений). </w:t>
      </w:r>
    </w:p>
    <w:p w14:paraId="0E000000">
      <w:pPr>
        <w:spacing w:after="0" w:line="240" w:lineRule="auto"/>
        <w:ind w:firstLine="709" w:left="0"/>
        <w:jc w:val="both"/>
        <w:rPr>
          <w:rFonts w:ascii="Times New Roman" w:hAnsi="Times New Roman"/>
          <w:sz w:val="28"/>
        </w:rPr>
      </w:pPr>
      <w:r>
        <w:rPr>
          <w:rFonts w:ascii="Times New Roman" w:hAnsi="Times New Roman"/>
          <w:sz w:val="28"/>
        </w:rPr>
        <w:t xml:space="preserve">Судом установлено, что житель с. Саратан 1 августа 2025 года, находясь в лесном массиве Улаганского участкового лесничества, не имея специального разрешения на рубку лесных насаждений,  используя бензопилу, спилил сырорастущие деревья породы лиственница объемом 3, 82 куб.м., причинив государственному лесному фонду Российской Федерации имущественный ущерб в крупном размере на общую сумму 82283 рубля. </w:t>
      </w:r>
    </w:p>
    <w:p w14:paraId="0F000000">
      <w:pPr>
        <w:spacing w:after="0" w:line="240" w:lineRule="auto"/>
        <w:ind w:firstLine="709" w:left="0"/>
        <w:jc w:val="both"/>
        <w:rPr>
          <w:rFonts w:ascii="Times New Roman" w:hAnsi="Times New Roman"/>
          <w:sz w:val="28"/>
        </w:rPr>
      </w:pPr>
      <w:r>
        <w:rPr>
          <w:rFonts w:ascii="Times New Roman" w:hAnsi="Times New Roman"/>
          <w:sz w:val="28"/>
        </w:rPr>
        <w:t xml:space="preserve">В ходе следствия обвиняемый причиненный ущерб добровольно  возместил в полном объеме.  </w:t>
      </w:r>
    </w:p>
    <w:p w14:paraId="10000000">
      <w:pPr>
        <w:spacing w:after="0" w:line="240" w:lineRule="auto"/>
        <w:ind w:firstLine="0" w:left="0"/>
        <w:jc w:val="both"/>
        <w:rPr>
          <w:rFonts w:ascii="Times New Roman" w:hAnsi="Times New Roman"/>
          <w:sz w:val="28"/>
        </w:rPr>
      </w:pPr>
      <w:r>
        <w:rPr>
          <w:rFonts w:ascii="Times New Roman" w:hAnsi="Times New Roman"/>
          <w:sz w:val="28"/>
        </w:rPr>
        <w:tab/>
      </w:r>
      <w:r>
        <w:rPr>
          <w:rFonts w:ascii="Times New Roman" w:hAnsi="Times New Roman"/>
          <w:sz w:val="28"/>
        </w:rPr>
        <w:t xml:space="preserve">Обвиняемый </w:t>
      </w:r>
      <w:r>
        <w:rPr>
          <w:rFonts w:ascii="Times New Roman" w:hAnsi="Times New Roman"/>
          <w:sz w:val="28"/>
        </w:rPr>
        <w:t>вину в совершении преступления признал в полном объеме, раскаял</w:t>
      </w:r>
      <w:r>
        <w:rPr>
          <w:rFonts w:ascii="Times New Roman" w:hAnsi="Times New Roman"/>
          <w:sz w:val="28"/>
        </w:rPr>
        <w:t>ся</w:t>
      </w:r>
      <w:r>
        <w:rPr>
          <w:rFonts w:ascii="Times New Roman" w:hAnsi="Times New Roman"/>
          <w:sz w:val="28"/>
        </w:rPr>
        <w:t>.</w:t>
      </w:r>
    </w:p>
    <w:p w14:paraId="11000000">
      <w:pPr>
        <w:spacing w:after="0" w:line="240" w:lineRule="auto"/>
        <w:ind/>
        <w:jc w:val="both"/>
        <w:rPr>
          <w:rFonts w:ascii="Times New Roman" w:hAnsi="Times New Roman"/>
          <w:sz w:val="28"/>
        </w:rPr>
      </w:pPr>
      <w:r>
        <w:rPr>
          <w:rFonts w:ascii="Times New Roman" w:hAnsi="Times New Roman"/>
          <w:sz w:val="28"/>
        </w:rPr>
        <w:tab/>
      </w:r>
      <w:r>
        <w:rPr>
          <w:rFonts w:ascii="Times New Roman" w:hAnsi="Times New Roman"/>
          <w:sz w:val="28"/>
        </w:rPr>
        <w:t>С учетом позиции государственного обвинителя, личности виновного</w:t>
      </w:r>
      <w:r>
        <w:rPr>
          <w:rFonts w:ascii="Times New Roman" w:hAnsi="Times New Roman"/>
          <w:sz w:val="28"/>
        </w:rPr>
        <w:t xml:space="preserve">, смягчающих наказание обстоятельств, </w:t>
      </w:r>
      <w:r>
        <w:rPr>
          <w:rFonts w:ascii="Times New Roman" w:hAnsi="Times New Roman"/>
          <w:sz w:val="28"/>
        </w:rPr>
        <w:t xml:space="preserve"> уголовное дело прекращено с назначением судебного штрафа в размере 20 т. рублей. Бензопила обвиняемого, с помощью которой незаконно срублены деревья, конфискованы в доход государства. </w:t>
      </w:r>
    </w:p>
    <w:p w14:paraId="12000000">
      <w:pPr>
        <w:spacing w:after="0" w:line="240" w:lineRule="auto"/>
        <w:ind/>
        <w:jc w:val="both"/>
        <w:rPr>
          <w:rFonts w:ascii="Times New Roman" w:hAnsi="Times New Roman"/>
          <w:sz w:val="28"/>
        </w:rPr>
      </w:pPr>
      <w:r>
        <w:rPr>
          <w:rFonts w:ascii="Times New Roman" w:hAnsi="Times New Roman"/>
          <w:sz w:val="28"/>
        </w:rPr>
        <w:tab/>
      </w:r>
      <w:r>
        <w:rPr>
          <w:rFonts w:ascii="Times New Roman" w:hAnsi="Times New Roman"/>
          <w:sz w:val="28"/>
        </w:rPr>
        <w:t xml:space="preserve">Постановление </w:t>
      </w:r>
      <w:r>
        <w:rPr>
          <w:rFonts w:ascii="Times New Roman" w:hAnsi="Times New Roman"/>
          <w:sz w:val="28"/>
        </w:rPr>
        <w:t xml:space="preserve"> вступило в законную силу.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p>
    <w:p w14:paraId="13000000">
      <w:pPr>
        <w:spacing w:after="0" w:line="240" w:lineRule="auto"/>
        <w:ind/>
        <w:rPr>
          <w:rFonts w:ascii="Times New Roman" w:hAnsi="Times New Roman"/>
          <w:sz w:val="28"/>
        </w:rPr>
      </w:pPr>
    </w:p>
    <w:tbl>
      <w:tblPr>
        <w:tblStyle w:val="Style_3"/>
        <w:tblW w:type="auto" w:w="0"/>
        <w:tblInd w:type="dxa" w:w="284"/>
        <w:tblLayout w:type="fixed"/>
      </w:tblPr>
      <w:tblGrid>
        <w:gridCol w:w="9639"/>
      </w:tblGrid>
      <w:tr>
        <w:trPr>
          <w:trHeight w:hRule="atLeast" w:val="1156"/>
        </w:trPr>
        <w:tc>
          <w:tcPr>
            <w:tcW w:type="dxa" w:w="9639"/>
          </w:tcPr>
          <w:p w14:paraId="14000000">
            <w:pPr>
              <w:spacing w:before="240" w:line="360" w:lineRule="exact"/>
              <w:ind w:firstLine="0" w:left="2872"/>
              <w:rPr>
                <w:color w:themeColor="background1" w:themeShade="BF" w:val="BFBFBF"/>
                <w:sz w:val="24"/>
              </w:rPr>
            </w:pPr>
            <w:bookmarkStart w:id="3" w:name="SIGNERSTAMP1"/>
            <w:r>
              <w:rPr>
                <w:color w:themeColor="background1" w:themeShade="BF" w:val="BFBFBF"/>
                <w:sz w:val="24"/>
              </w:rPr>
              <w:t xml:space="preserve">                                     </w:t>
            </w:r>
            <w:r>
              <w:rPr>
                <w:color w:themeColor="background1" w:themeShade="BF" w:val="BFBFBF"/>
                <w:sz w:val="24"/>
              </w:rPr>
              <w:t>эл.подпись</w:t>
            </w:r>
            <w:bookmarkEnd w:id="3"/>
          </w:p>
          <w:p w14:paraId="15000000">
            <w:pPr>
              <w:spacing w:line="360" w:lineRule="exact"/>
              <w:ind/>
              <w:rPr>
                <w:color w:themeColor="background1" w:themeShade="80" w:val="808080"/>
                <w:sz w:val="28"/>
              </w:rPr>
            </w:pPr>
            <w:r>
              <w:rPr>
                <w:color w:themeColor="background1" w:themeShade="BF" w:val="BFBFBF"/>
                <w:sz w:val="28"/>
              </w:rPr>
              <w:t xml:space="preserve"> </w:t>
            </w:r>
          </w:p>
        </w:tc>
      </w:tr>
    </w:tbl>
    <w:tbl>
      <w:tblPr>
        <w:tblStyle w:val="Style_4"/>
        <w:tblpPr w:bottomFromText="0" w:horzAnchor="text" w:leftFromText="181" w:rightFromText="181" w:tblpXSpec="left" w:tblpY="1" w:topFromText="0" w:vertAnchor="text"/>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9"/>
        <w:gridCol w:w="1417"/>
        <w:gridCol w:w="3403"/>
      </w:tblGrid>
      <w:tr>
        <w:tc>
          <w:tcPr>
            <w:tcW w:type="dxa" w:w="4819"/>
            <w:tcBorders>
              <w:top w:color="000000" w:sz="4" w:val="nil"/>
              <w:left w:color="000000" w:sz="4" w:val="nil"/>
              <w:bottom w:color="000000" w:sz="4" w:val="nil"/>
              <w:right w:color="000000" w:sz="4" w:val="nil"/>
            </w:tcBorders>
            <w:tcMar>
              <w:left w:type="dxa" w:w="0"/>
              <w:right w:type="dxa" w:w="0"/>
            </w:tcMar>
            <w:vAlign w:val="bottom"/>
          </w:tcPr>
          <w:p w14:paraId="16000000">
            <w:pPr>
              <w:spacing w:line="240" w:lineRule="exact"/>
              <w:ind/>
              <w:rPr>
                <w:rFonts w:ascii="Times New Roman" w:hAnsi="Times New Roman"/>
                <w:sz w:val="28"/>
              </w:rPr>
            </w:pPr>
            <w:r>
              <w:rPr>
                <w:rFonts w:ascii="Times New Roman" w:hAnsi="Times New Roman"/>
                <w:sz w:val="28"/>
              </w:rPr>
              <w:t>Прокурор района</w:t>
            </w:r>
          </w:p>
        </w:tc>
        <w:tc>
          <w:tcPr>
            <w:tcW w:type="dxa" w:w="1417"/>
            <w:tcBorders>
              <w:top w:color="000000" w:sz="4" w:val="nil"/>
              <w:left w:color="000000" w:sz="4" w:val="nil"/>
              <w:bottom w:color="000000" w:sz="4" w:val="nil"/>
              <w:right w:color="000000" w:sz="4" w:val="nil"/>
            </w:tcBorders>
            <w:vAlign w:val="bottom"/>
          </w:tcPr>
          <w:p w14:paraId="17000000">
            <w:pPr>
              <w:spacing w:line="240" w:lineRule="exact"/>
              <w:ind/>
              <w:rPr>
                <w:rFonts w:ascii="Times New Roman" w:hAnsi="Times New Roman"/>
                <w:sz w:val="28"/>
              </w:rPr>
            </w:pPr>
          </w:p>
        </w:tc>
        <w:tc>
          <w:tcPr>
            <w:tcW w:type="dxa" w:w="3403"/>
            <w:tcBorders>
              <w:top w:color="000000" w:sz="4" w:val="nil"/>
              <w:left w:color="000000" w:sz="4" w:val="nil"/>
              <w:bottom w:color="000000" w:sz="4" w:val="nil"/>
              <w:right w:color="000000" w:sz="4" w:val="nil"/>
            </w:tcBorders>
            <w:vAlign w:val="bottom"/>
          </w:tcPr>
          <w:p w14:paraId="18000000">
            <w:pPr>
              <w:spacing w:line="240" w:lineRule="exact"/>
              <w:ind w:right="-114"/>
              <w:rPr>
                <w:rFonts w:ascii="Times New Roman" w:hAnsi="Times New Roman"/>
                <w:sz w:val="28"/>
              </w:rPr>
            </w:pPr>
            <w:r>
              <w:rPr>
                <w:rFonts w:ascii="Times New Roman" w:hAnsi="Times New Roman"/>
                <w:sz w:val="28"/>
              </w:rPr>
              <w:t xml:space="preserve">                     Н.А. Казанцев</w:t>
            </w:r>
          </w:p>
        </w:tc>
      </w:tr>
    </w:tbl>
    <w:p w14:paraId="19000000">
      <w:pPr>
        <w:tabs>
          <w:tab w:leader="none" w:pos="2268" w:val="left"/>
          <w:tab w:leader="none" w:pos="6804" w:val="left"/>
        </w:tabs>
        <w:spacing w:after="0" w:line="240" w:lineRule="auto"/>
        <w:ind/>
        <w:rPr>
          <w:rFonts w:ascii="Times New Roman" w:hAnsi="Times New Roman"/>
          <w:sz w:val="20"/>
        </w:rPr>
      </w:pPr>
    </w:p>
    <w:p w14:paraId="1A000000">
      <w:pPr>
        <w:tabs>
          <w:tab w:leader="none" w:pos="2268" w:val="left"/>
          <w:tab w:leader="none" w:pos="6804" w:val="left"/>
        </w:tabs>
        <w:spacing w:after="0" w:line="240" w:lineRule="auto"/>
        <w:ind/>
        <w:rPr>
          <w:rFonts w:ascii="Times New Roman" w:hAnsi="Times New Roman"/>
          <w:sz w:val="20"/>
        </w:rPr>
      </w:pPr>
    </w:p>
    <w:p w14:paraId="1B000000">
      <w:pPr>
        <w:tabs>
          <w:tab w:leader="none" w:pos="2268" w:val="left"/>
          <w:tab w:leader="none" w:pos="6804" w:val="left"/>
        </w:tabs>
        <w:spacing w:after="0" w:line="240" w:lineRule="auto"/>
        <w:ind/>
        <w:rPr>
          <w:rFonts w:ascii="Times New Roman" w:hAnsi="Times New Roman"/>
          <w:sz w:val="20"/>
        </w:rPr>
      </w:pPr>
    </w:p>
    <w:p w14:paraId="1C000000">
      <w:pPr>
        <w:tabs>
          <w:tab w:leader="none" w:pos="2268" w:val="left"/>
          <w:tab w:leader="none" w:pos="6804" w:val="left"/>
        </w:tabs>
        <w:spacing w:after="0" w:line="240" w:lineRule="auto"/>
        <w:ind/>
        <w:rPr>
          <w:rFonts w:ascii="Times New Roman" w:hAnsi="Times New Roman"/>
          <w:sz w:val="20"/>
        </w:rPr>
      </w:pPr>
    </w:p>
    <w:sectPr>
      <w:headerReference r:id="rId1" w:type="default"/>
      <w:footerReference r:id="rId2" w:type="default"/>
      <w:footerReference r:id="rId3" w:type="first"/>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ind/>
      <w:jc w:val="center"/>
    </w:pP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tbl>
    <w:tblPr>
      <w:tblStyle w:val="Style_3"/>
      <w:tblpPr w:horzAnchor="margin" w:tblpXSpec="right" w:tblpYSpec="outside" w:vertAnchor="page"/>
      <w:tblW w:type="auto" w:w="0"/>
      <w:tblBorders>
        <w:top w:color="000000" w:sz="6" w:val="single"/>
        <w:left w:color="000000" w:sz="6" w:val="single"/>
        <w:bottom w:color="000000" w:sz="6" w:val="single"/>
        <w:right w:color="000000" w:sz="6" w:val="single"/>
        <w:insideH w:color="000000" w:sz="6" w:val="single"/>
        <w:insideV w:color="000000" w:sz="6" w:val="single"/>
      </w:tblBorders>
      <w:tblLayout w:type="fixed"/>
      <w:tblCellMar>
        <w:top w:type="dxa" w:w="28"/>
        <w:left w:type="dxa" w:w="28"/>
        <w:bottom w:type="dxa" w:w="28"/>
        <w:right w:type="dxa" w:w="28"/>
      </w:tblCellMar>
    </w:tblPr>
    <w:tblGrid>
      <w:gridCol w:w="3643"/>
    </w:tblGrid>
    <w:tr>
      <w:trPr>
        <w:trHeight w:hRule="atLeast" w:val="57"/>
      </w:trPr>
      <w:tc>
        <w:tcPr>
          <w:tcW w:type="dxa" w:w="3643"/>
          <w:tcBorders>
            <w:top w:color="000000" w:sz="6" w:val="single"/>
            <w:left w:color="000000" w:sz="6" w:val="single"/>
            <w:bottom w:color="000000" w:sz="6" w:val="single"/>
            <w:right w:color="000000" w:sz="6" w:val="single"/>
          </w:tcBorders>
          <w:tcMar>
            <w:top w:type="dxa" w:w="28"/>
            <w:left w:type="dxa" w:w="28"/>
            <w:bottom w:type="dxa" w:w="28"/>
            <w:right w:type="dxa" w:w="28"/>
          </w:tcMar>
        </w:tcPr>
        <w:p w14:paraId="03000000">
          <w:pPr>
            <w:spacing w:after="60" w:line="240" w:lineRule="auto"/>
            <w:ind/>
            <w:jc w:val="center"/>
            <w:rPr>
              <w:rFonts w:ascii="Times New Roman" w:hAnsi="Times New Roman"/>
              <w:sz w:val="16"/>
            </w:rPr>
          </w:pPr>
          <w:bookmarkStart w:id="1" w:name="SIGNERORG1"/>
          <w:r>
            <w:rPr>
              <w:rFonts w:ascii="Times New Roman" w:hAnsi="Times New Roman"/>
              <w:sz w:val="16"/>
            </w:rPr>
            <w:t>организация</w:t>
          </w:r>
          <w:bookmarkEnd w:id="1"/>
        </w:p>
        <w:p w14:paraId="04000000">
          <w:pPr>
            <w:spacing w:after="60" w:line="240" w:lineRule="auto"/>
            <w:ind/>
            <w:jc w:val="center"/>
            <w:rPr>
              <w:rFonts w:ascii="Times New Roman" w:hAnsi="Times New Roman"/>
              <w:sz w:val="16"/>
            </w:rPr>
          </w:pPr>
          <w:r>
            <w:rPr>
              <w:rFonts w:ascii="Times New Roman" w:hAnsi="Times New Roman"/>
              <w:sz w:val="16"/>
            </w:rPr>
            <w:t xml:space="preserve">№ </w:t>
          </w:r>
          <w:bookmarkStart w:id="2" w:name="REGNUMSTAMP"/>
          <w:r>
            <w:rPr>
              <w:rFonts w:ascii="Times New Roman" w:hAnsi="Times New Roman"/>
              <w:color w:themeColor="background1" w:themeShade="BF" w:val="BFBFBF"/>
              <w:sz w:val="16"/>
            </w:rPr>
            <w:t>рег.номер</w:t>
          </w:r>
          <w:bookmarkEnd w:id="2"/>
        </w:p>
      </w:tc>
    </w:tr>
  </w:tbl>
  <w:p w14:paraId="05000000">
    <w:pPr>
      <w:pStyle w:val="Style_2"/>
      <w:spacing w:after="60"/>
      <w:ind/>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Default Paragraph Font"/>
    <w:link w:val="Style_7_ch"/>
  </w:style>
  <w:style w:styleId="Style_7_ch" w:type="character">
    <w:name w:val="Default Paragraph Font"/>
    <w:link w:val="Style_7"/>
  </w:style>
  <w:style w:styleId="Style_8" w:type="paragraph">
    <w:name w:val="Balloon Text"/>
    <w:basedOn w:val="Style_5"/>
    <w:link w:val="Style_8_ch"/>
    <w:pPr>
      <w:spacing w:after="0" w:line="240" w:lineRule="auto"/>
      <w:ind/>
    </w:pPr>
    <w:rPr>
      <w:rFonts w:ascii="Segoe UI" w:hAnsi="Segoe UI"/>
      <w:sz w:val="18"/>
    </w:rPr>
  </w:style>
  <w:style w:styleId="Style_8_ch" w:type="character">
    <w:name w:val="Balloon Text"/>
    <w:basedOn w:val="Style_5_ch"/>
    <w:link w:val="Style_8"/>
    <w:rPr>
      <w:rFonts w:ascii="Segoe UI" w:hAnsi="Segoe UI"/>
      <w:sz w:val="18"/>
    </w:rPr>
  </w:style>
  <w:style w:styleId="Style_9" w:type="paragraph">
    <w:name w:val="toc 4"/>
    <w:next w:val="Style_5"/>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5"/>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5"/>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Endnote"/>
    <w:link w:val="Style_12_ch"/>
    <w:pPr>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next w:val="Style_5"/>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4" w:type="paragraph">
    <w:name w:val="toc 3"/>
    <w:next w:val="Style_5"/>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2" w:type="paragraph">
    <w:name w:val="footer"/>
    <w:basedOn w:val="Style_5"/>
    <w:link w:val="Style_2_ch"/>
    <w:pPr>
      <w:tabs>
        <w:tab w:leader="none" w:pos="4677" w:val="center"/>
        <w:tab w:leader="none" w:pos="9355" w:val="right"/>
      </w:tabs>
      <w:spacing w:after="0" w:line="240" w:lineRule="auto"/>
      <w:ind/>
    </w:pPr>
  </w:style>
  <w:style w:styleId="Style_2_ch" w:type="character">
    <w:name w:val="footer"/>
    <w:basedOn w:val="Style_5_ch"/>
    <w:link w:val="Style_2"/>
  </w:style>
  <w:style w:styleId="Style_15" w:type="paragraph">
    <w:name w:val="heading 5"/>
    <w:next w:val="Style_5"/>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next w:val="Style_5"/>
    <w:link w:val="Style_16_ch"/>
    <w:uiPriority w:val="9"/>
    <w:qFormat/>
    <w:pPr>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17" w:type="paragraph">
    <w:name w:val="Hyperlink"/>
    <w:link w:val="Style_17_ch"/>
    <w:rPr>
      <w:color w:val="0000FF"/>
      <w:u w:val="single"/>
    </w:rPr>
  </w:style>
  <w:style w:styleId="Style_17_ch" w:type="character">
    <w:name w:val="Hyperlink"/>
    <w:link w:val="Style_17"/>
    <w:rPr>
      <w:color w:val="0000FF"/>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toc 1"/>
    <w:next w:val="Style_5"/>
    <w:link w:val="Style_19_ch"/>
    <w:uiPriority w:val="39"/>
    <w:pPr>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Header and Footer"/>
    <w:link w:val="Style_20_ch"/>
    <w:pPr>
      <w:spacing w:line="240" w:lineRule="auto"/>
      <w:ind/>
      <w:jc w:val="both"/>
    </w:pPr>
    <w:rPr>
      <w:rFonts w:ascii="XO Thames" w:hAnsi="XO Thames"/>
      <w:sz w:val="28"/>
    </w:rPr>
  </w:style>
  <w:style w:styleId="Style_20_ch" w:type="character">
    <w:name w:val="Header and Footer"/>
    <w:link w:val="Style_20"/>
    <w:rPr>
      <w:rFonts w:ascii="XO Thames" w:hAnsi="XO Thames"/>
      <w:sz w:val="28"/>
    </w:rPr>
  </w:style>
  <w:style w:styleId="Style_21" w:type="paragraph">
    <w:name w:val="toc 9"/>
    <w:next w:val="Style_5"/>
    <w:link w:val="Style_21_ch"/>
    <w:uiPriority w:val="39"/>
    <w:pPr>
      <w:ind w:firstLine="0" w:left="1600"/>
      <w:jc w:val="left"/>
    </w:pPr>
    <w:rPr>
      <w:rFonts w:ascii="XO Thames" w:hAnsi="XO Thames"/>
      <w:sz w:val="28"/>
    </w:rPr>
  </w:style>
  <w:style w:styleId="Style_21_ch" w:type="character">
    <w:name w:val="toc 9"/>
    <w:link w:val="Style_21"/>
    <w:rPr>
      <w:rFonts w:ascii="XO Thames" w:hAnsi="XO Thames"/>
      <w:sz w:val="28"/>
    </w:rPr>
  </w:style>
  <w:style w:styleId="Style_22" w:type="paragraph">
    <w:name w:val="Штамп"/>
    <w:basedOn w:val="Style_5"/>
    <w:link w:val="Style_22_ch"/>
    <w:pPr>
      <w:spacing w:after="0" w:line="720" w:lineRule="auto"/>
      <w:ind/>
      <w:jc w:val="left"/>
    </w:pPr>
    <w:rPr>
      <w:rFonts w:ascii="Times New Roman" w:hAnsi="Times New Roman"/>
      <w:sz w:val="28"/>
    </w:rPr>
  </w:style>
  <w:style w:styleId="Style_22_ch" w:type="character">
    <w:name w:val="Штамп"/>
    <w:basedOn w:val="Style_5_ch"/>
    <w:link w:val="Style_22"/>
    <w:rPr>
      <w:rFonts w:ascii="Times New Roman" w:hAnsi="Times New Roman"/>
      <w:sz w:val="28"/>
    </w:rPr>
  </w:style>
  <w:style w:styleId="Style_1" w:type="paragraph">
    <w:name w:val="header"/>
    <w:basedOn w:val="Style_5"/>
    <w:link w:val="Style_1_ch"/>
    <w:pPr>
      <w:tabs>
        <w:tab w:leader="none" w:pos="4677" w:val="center"/>
        <w:tab w:leader="none" w:pos="9355" w:val="right"/>
      </w:tabs>
      <w:spacing w:after="0" w:line="240" w:lineRule="auto"/>
      <w:ind/>
    </w:pPr>
  </w:style>
  <w:style w:styleId="Style_1_ch" w:type="character">
    <w:name w:val="header"/>
    <w:basedOn w:val="Style_5_ch"/>
    <w:link w:val="Style_1"/>
  </w:style>
  <w:style w:styleId="Style_23" w:type="paragraph">
    <w:name w:val="toc 8"/>
    <w:next w:val="Style_5"/>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toc 5"/>
    <w:next w:val="Style_5"/>
    <w:link w:val="Style_24_ch"/>
    <w:uiPriority w:val="39"/>
    <w:pPr>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Subtitle"/>
    <w:next w:val="Style_5"/>
    <w:link w:val="Style_25_ch"/>
    <w:uiPriority w:val="11"/>
    <w:qFormat/>
    <w:pPr>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next w:val="Style_5"/>
    <w:link w:val="Style_26_ch"/>
    <w:uiPriority w:val="10"/>
    <w:qFormat/>
    <w:pPr>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5"/>
    <w:link w:val="Style_27_ch"/>
    <w:uiPriority w:val="9"/>
    <w:qFormat/>
    <w:pPr>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next w:val="Style_5"/>
    <w:link w:val="Style_28_ch"/>
    <w:uiPriority w:val="9"/>
    <w:qFormat/>
    <w:pPr>
      <w:spacing w:after="120" w:before="120"/>
      <w:ind/>
      <w:jc w:val="both"/>
      <w:outlineLvl w:val="1"/>
    </w:pPr>
    <w:rPr>
      <w:rFonts w:ascii="XO Thames" w:hAnsi="XO Thames"/>
      <w:b w:val="1"/>
      <w:sz w:val="28"/>
    </w:rPr>
  </w:style>
  <w:style w:styleId="Style_28_ch" w:type="character">
    <w:name w:val="heading 2"/>
    <w:link w:val="Style_28"/>
    <w:rPr>
      <w:rFonts w:ascii="XO Thames" w:hAnsi="XO Thames"/>
      <w:b w:val="1"/>
      <w:sz w:val="28"/>
    </w:rPr>
  </w:style>
  <w:style w:styleId="Style_4" w:type="table">
    <w:name w:val="Table Grid"/>
    <w:basedOn w:val="Style_3"/>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xml" Type="http://schemas.openxmlformats.org/officeDocument/2006/relationships/styles"/>
  <Relationship Id="rId1" Target="header1.xml" Type="http://schemas.openxmlformats.org/officeDocument/2006/relationships/header"/>
  <Relationship Id="rId2" Target="footer2.xml" Type="http://schemas.openxmlformats.org/officeDocument/2006/relationships/footer"/>
  <Relationship Id="rId3" Target="footer3.xml" Type="http://schemas.openxmlformats.org/officeDocument/2006/relationships/footer"/>
  <Relationship Id="rId8" Target="webSettings.xml" Type="http://schemas.openxmlformats.org/officeDocument/2006/relationships/webSettings"/>
  <Relationship Id="rId4" Target="fontTable.xml" Type="http://schemas.openxmlformats.org/officeDocument/2006/relationships/fontTable"/>
  <Relationship Id="rId9" Target="theme/theme1.xml" Type="http://schemas.openxmlformats.org/officeDocument/2006/relationships/theme"/>
  <Relationship Id="rId7" Target="stylesWithEffects.xml" Type="http://schemas.microsoft.com/office/2007/relationships/stylesWithEffects"/>
  <Relationship Id="rId5" Target="settings.xml" Type="http://schemas.openxmlformats.org/officeDocument/2006/relationships/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MyOffice-CoreFramework-Linux/31-1176.784.8785.803.1@b7d79ee91c0484ce8e5066dc862bfc403a32edb5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2025-10-16T11:19:47Z</dcterms:modified>
</cp:coreProperties>
</file>